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B8" w:rsidRPr="007134F5" w:rsidRDefault="00F843C0" w:rsidP="00F843C0">
      <w:pPr>
        <w:jc w:val="center"/>
        <w:rPr>
          <w:b/>
        </w:rPr>
      </w:pPr>
      <w:bookmarkStart w:id="0" w:name="_GoBack"/>
      <w:bookmarkEnd w:id="0"/>
      <w:r w:rsidRPr="007134F5">
        <w:rPr>
          <w:b/>
        </w:rPr>
        <w:t>Звіт</w:t>
      </w:r>
    </w:p>
    <w:p w:rsidR="00F843C0" w:rsidRPr="007134F5" w:rsidRDefault="00F843C0" w:rsidP="00F843C0">
      <w:pPr>
        <w:jc w:val="center"/>
        <w:rPr>
          <w:b/>
        </w:rPr>
      </w:pPr>
      <w:r w:rsidRPr="007134F5">
        <w:rPr>
          <w:b/>
        </w:rPr>
        <w:t>за результатами опитування здобувачів 4 курсу</w:t>
      </w:r>
    </w:p>
    <w:p w:rsidR="00F843C0" w:rsidRPr="007134F5" w:rsidRDefault="00F843C0" w:rsidP="00F843C0">
      <w:pPr>
        <w:jc w:val="center"/>
        <w:rPr>
          <w:b/>
        </w:rPr>
      </w:pPr>
      <w:r w:rsidRPr="007134F5">
        <w:rPr>
          <w:b/>
        </w:rPr>
        <w:t>щодо якості ОП 292 «Міжнародні економічні відносини»</w:t>
      </w:r>
    </w:p>
    <w:p w:rsidR="00F843C0" w:rsidRPr="007134F5" w:rsidRDefault="00F843C0" w:rsidP="00F843C0">
      <w:pPr>
        <w:jc w:val="center"/>
        <w:rPr>
          <w:b/>
        </w:rPr>
      </w:pPr>
      <w:r w:rsidRPr="007134F5">
        <w:rPr>
          <w:b/>
        </w:rPr>
        <w:t>першого (бакалаврського) рівня вищої освіти,</w:t>
      </w:r>
    </w:p>
    <w:p w:rsidR="00F843C0" w:rsidRPr="007134F5" w:rsidRDefault="00F843C0" w:rsidP="00F843C0">
      <w:pPr>
        <w:jc w:val="center"/>
        <w:rPr>
          <w:b/>
        </w:rPr>
      </w:pPr>
      <w:r w:rsidRPr="007134F5">
        <w:rPr>
          <w:b/>
        </w:rPr>
        <w:t>проведеного у червні-вересні 2022 року</w:t>
      </w:r>
    </w:p>
    <w:p w:rsidR="00F843C0" w:rsidRDefault="00F843C0"/>
    <w:p w:rsidR="00F843C0" w:rsidRDefault="00F843C0" w:rsidP="00F843C0">
      <w:pPr>
        <w:ind w:firstLine="709"/>
      </w:pPr>
      <w:r>
        <w:t xml:space="preserve">Результати опитування здобувачів </w:t>
      </w:r>
      <w:r w:rsidRPr="00F843C0">
        <w:t>першого (бакалаврського) рівня вищої освіти</w:t>
      </w:r>
      <w:r>
        <w:t>, які завершили навчання у 2022 році за ОП 292 «Міжнародні економічні відносини»</w:t>
      </w:r>
      <w:r w:rsidR="002A4F23">
        <w:t>,</w:t>
      </w:r>
      <w:r>
        <w:t xml:space="preserve"> продемонстрували, що здобувачі загалом задоволені рівнем якості освітньої програми.</w:t>
      </w:r>
    </w:p>
    <w:p w:rsidR="002A4F23" w:rsidRDefault="002A4F23" w:rsidP="00F843C0">
      <w:pPr>
        <w:ind w:firstLine="709"/>
      </w:pPr>
      <w:r>
        <w:t>В опитуванні взяло участь 12 здобувачів 4-го курсу (10,2% від загальної кількості 118 осіб), що дозволяє вважати результати умовно надійними (від 10% до 30%).</w:t>
      </w:r>
    </w:p>
    <w:p w:rsidR="00C73A60" w:rsidRPr="007134F5" w:rsidRDefault="00C73A60" w:rsidP="00DF44D2">
      <w:pPr>
        <w:spacing w:before="120"/>
        <w:ind w:firstLine="709"/>
        <w:rPr>
          <w:b/>
        </w:rPr>
      </w:pPr>
      <w:r w:rsidRPr="007134F5">
        <w:rPr>
          <w:b/>
        </w:rPr>
        <w:t>Рівень задоволеності здобувачів за окремими критеріями:</w:t>
      </w:r>
    </w:p>
    <w:p w:rsidR="00C73A60" w:rsidRDefault="007134F5" w:rsidP="007134F5">
      <w:pPr>
        <w:ind w:firstLine="709"/>
      </w:pPr>
      <w:r>
        <w:t xml:space="preserve">1. Процедури і правила: </w:t>
      </w:r>
      <w:r w:rsidR="00C73A60">
        <w:t>п</w:t>
      </w:r>
      <w:r w:rsidR="00C73A60" w:rsidRPr="0026778E">
        <w:t>равила прийому на навчання за ОП</w:t>
      </w:r>
      <w:r w:rsidR="00C73A60">
        <w:t xml:space="preserve"> – 90%;</w:t>
      </w:r>
      <w:r>
        <w:t xml:space="preserve"> </w:t>
      </w:r>
      <w:r w:rsidR="00C73A60" w:rsidRPr="00C73A60">
        <w:t>п</w:t>
      </w:r>
      <w:r w:rsidR="00C73A60" w:rsidRPr="0026778E">
        <w:t>равила і процедури, що регулюють права та обов</w:t>
      </w:r>
      <w:r w:rsidR="00C73A60" w:rsidRPr="00C73A60">
        <w:t>’</w:t>
      </w:r>
      <w:r w:rsidR="00C73A60" w:rsidRPr="0026778E">
        <w:t xml:space="preserve">язки </w:t>
      </w:r>
      <w:r w:rsidR="00C73A60">
        <w:t>здобувачів освіти – 87%;</w:t>
      </w:r>
      <w:r>
        <w:t xml:space="preserve"> </w:t>
      </w:r>
      <w:r w:rsidR="00C73A60">
        <w:t>п</w:t>
      </w:r>
      <w:r w:rsidR="00C73A60" w:rsidRPr="0026778E">
        <w:t>роцедури визнання результатів навчання, отриманих в інших закладах освіти</w:t>
      </w:r>
      <w:r w:rsidR="00C73A60">
        <w:t xml:space="preserve"> – 87%</w:t>
      </w:r>
      <w:r>
        <w:t>.</w:t>
      </w:r>
    </w:p>
    <w:p w:rsidR="00C73A60" w:rsidRDefault="007134F5" w:rsidP="007134F5">
      <w:pPr>
        <w:ind w:firstLine="709"/>
      </w:pPr>
      <w:r>
        <w:t>2. І</w:t>
      </w:r>
      <w:r w:rsidRPr="0026778E">
        <w:t>ндивідуальн</w:t>
      </w:r>
      <w:r>
        <w:t>а</w:t>
      </w:r>
      <w:r w:rsidRPr="0026778E">
        <w:t xml:space="preserve"> освітн</w:t>
      </w:r>
      <w:r>
        <w:t>я</w:t>
      </w:r>
      <w:r w:rsidRPr="0026778E">
        <w:t xml:space="preserve"> траєкторі</w:t>
      </w:r>
      <w:r>
        <w:t xml:space="preserve">я: </w:t>
      </w:r>
      <w:r w:rsidR="00C73A60" w:rsidRPr="0026778E">
        <w:t>процедури, які дозволяють формування індивідуальної освітньої траєкторії</w:t>
      </w:r>
      <w:r w:rsidR="00C73A60">
        <w:t xml:space="preserve"> – 73%;</w:t>
      </w:r>
      <w:r>
        <w:t xml:space="preserve"> </w:t>
      </w:r>
      <w:r w:rsidR="00C73A60" w:rsidRPr="0026778E">
        <w:t>рівень поінформованості про вибіркові дисципліни та блоки</w:t>
      </w:r>
      <w:r w:rsidR="00C73A60">
        <w:t xml:space="preserve"> – 64%;</w:t>
      </w:r>
      <w:r>
        <w:t xml:space="preserve"> </w:t>
      </w:r>
      <w:r w:rsidR="00C73A60" w:rsidRPr="0026778E">
        <w:t>можливість реального вибору навчальних дисциплін</w:t>
      </w:r>
      <w:r w:rsidR="00C73A60">
        <w:t xml:space="preserve"> – 67%</w:t>
      </w:r>
      <w:r>
        <w:t>.</w:t>
      </w:r>
    </w:p>
    <w:p w:rsidR="00C73A60" w:rsidRDefault="007134F5" w:rsidP="007134F5">
      <w:pPr>
        <w:ind w:firstLine="709"/>
      </w:pPr>
      <w:r>
        <w:t xml:space="preserve">3. Рівень формування практичних навичок: </w:t>
      </w:r>
      <w:r w:rsidR="00C73A60">
        <w:t>з</w:t>
      </w:r>
      <w:r w:rsidR="00C73A60" w:rsidRPr="0026778E">
        <w:t>адоволені</w:t>
      </w:r>
      <w:r w:rsidR="00C73A60">
        <w:t xml:space="preserve">сть </w:t>
      </w:r>
      <w:r w:rsidR="00C73A60" w:rsidRPr="0026778E">
        <w:t xml:space="preserve">сформованим рівнем </w:t>
      </w:r>
      <w:r w:rsidR="00C73A60" w:rsidRPr="007134F5">
        <w:rPr>
          <w:lang w:val="en-US"/>
        </w:rPr>
        <w:t>soft skills</w:t>
      </w:r>
      <w:r w:rsidR="00C73A60">
        <w:t xml:space="preserve"> – 87%;</w:t>
      </w:r>
      <w:r>
        <w:t xml:space="preserve"> </w:t>
      </w:r>
      <w:r w:rsidR="00C73A60">
        <w:t>якість практичної підготовки – 71%</w:t>
      </w:r>
      <w:r>
        <w:t>.</w:t>
      </w:r>
    </w:p>
    <w:p w:rsidR="007134F5" w:rsidRDefault="007134F5" w:rsidP="007134F5">
      <w:pPr>
        <w:ind w:firstLine="709"/>
      </w:pPr>
      <w:r>
        <w:t xml:space="preserve">4. База практики: </w:t>
      </w:r>
      <w:r w:rsidR="00C73A60">
        <w:t>рівень сприяння у пошуку баз практики – 12,5%;</w:t>
      </w:r>
      <w:r>
        <w:t xml:space="preserve"> </w:t>
      </w:r>
      <w:r w:rsidR="00C73A60">
        <w:t>ступінь відповідності баз практики спеціальності – 100%;</w:t>
      </w:r>
      <w:r>
        <w:t xml:space="preserve"> </w:t>
      </w:r>
      <w:r w:rsidR="003B3C6D">
        <w:t>бажаність працевлаштування на базах практики – 42%</w:t>
      </w:r>
      <w:r>
        <w:t>.</w:t>
      </w:r>
    </w:p>
    <w:p w:rsidR="003B3C6D" w:rsidRDefault="007134F5" w:rsidP="007134F5">
      <w:pPr>
        <w:ind w:firstLine="709"/>
      </w:pPr>
      <w:r>
        <w:t xml:space="preserve">5. Структура навчального навантаження: </w:t>
      </w:r>
      <w:r w:rsidR="003B3C6D" w:rsidRPr="003B3C6D">
        <w:t>ефективність залучення до освітнього процесу професіоналів-практиків</w:t>
      </w:r>
      <w:r w:rsidR="003B3C6D">
        <w:t xml:space="preserve"> – 65%;</w:t>
      </w:r>
      <w:r>
        <w:t xml:space="preserve"> </w:t>
      </w:r>
      <w:r w:rsidR="003B3C6D">
        <w:t>збалансованість обсягу навчального навантаження – 73%;</w:t>
      </w:r>
      <w:r>
        <w:t xml:space="preserve"> </w:t>
      </w:r>
      <w:r w:rsidR="003B3C6D">
        <w:t>достатність часу на самостійну роботу – 77%;</w:t>
      </w:r>
      <w:r>
        <w:t xml:space="preserve"> </w:t>
      </w:r>
      <w:r w:rsidR="003B3C6D">
        <w:t>оптимальність кількості дисциплін у семестрі – 72%;</w:t>
      </w:r>
      <w:r>
        <w:t xml:space="preserve"> </w:t>
      </w:r>
      <w:r w:rsidR="003B3C6D">
        <w:t>оптимальність кількості завдань в межах дисциплін – 67%;</w:t>
      </w:r>
      <w:r>
        <w:t xml:space="preserve"> </w:t>
      </w:r>
      <w:r w:rsidR="003B3C6D">
        <w:t>рівномірність термінів виконання завдань – 68%</w:t>
      </w:r>
      <w:r>
        <w:t>.</w:t>
      </w:r>
    </w:p>
    <w:p w:rsidR="003B3C6D" w:rsidRDefault="007134F5" w:rsidP="007134F5">
      <w:pPr>
        <w:ind w:firstLine="709"/>
      </w:pPr>
      <w:r>
        <w:t xml:space="preserve">6. Наукова робота і міжнародна мобільність: </w:t>
      </w:r>
      <w:r w:rsidR="003B3C6D">
        <w:t>рівень участі у науковій роботі – 73%;</w:t>
      </w:r>
      <w:r>
        <w:t xml:space="preserve"> </w:t>
      </w:r>
      <w:r w:rsidR="003B3C6D" w:rsidRPr="003B3C6D">
        <w:t>можливості участі у програмах міжнародної академічної мобільності</w:t>
      </w:r>
      <w:r w:rsidR="003B3C6D">
        <w:t xml:space="preserve"> – 81</w:t>
      </w:r>
      <w:r>
        <w:t>%.</w:t>
      </w:r>
    </w:p>
    <w:p w:rsidR="003B3C6D" w:rsidRDefault="007134F5" w:rsidP="007134F5">
      <w:pPr>
        <w:ind w:firstLine="709"/>
      </w:pPr>
      <w:r>
        <w:t xml:space="preserve">7. Матеріально-технічне забезпечення та підтримка: </w:t>
      </w:r>
      <w:r w:rsidR="003B3C6D">
        <w:t>с</w:t>
      </w:r>
      <w:r w:rsidR="003B3C6D" w:rsidRPr="003B3C6D">
        <w:t>тан матеріально-технічного забезпечення</w:t>
      </w:r>
      <w:r w:rsidR="003B3C6D">
        <w:t xml:space="preserve"> – 67%;</w:t>
      </w:r>
      <w:r>
        <w:t xml:space="preserve"> </w:t>
      </w:r>
      <w:r w:rsidR="003B3C6D">
        <w:t>р</w:t>
      </w:r>
      <w:r w:rsidR="003B3C6D" w:rsidRPr="003B3C6D">
        <w:t>івень доступу до інфраструктури та інформаційних ресурсів</w:t>
      </w:r>
      <w:r w:rsidR="003B3C6D">
        <w:t xml:space="preserve"> – 72%;</w:t>
      </w:r>
      <w:r>
        <w:t xml:space="preserve"> </w:t>
      </w:r>
      <w:r w:rsidR="003B3C6D">
        <w:t>р</w:t>
      </w:r>
      <w:r w:rsidR="003B3C6D" w:rsidRPr="003B3C6D">
        <w:t>івень освітньої підтримки</w:t>
      </w:r>
      <w:r w:rsidR="003B3C6D">
        <w:t xml:space="preserve"> – 80%;</w:t>
      </w:r>
      <w:r>
        <w:t xml:space="preserve"> </w:t>
      </w:r>
      <w:r w:rsidR="003B3C6D">
        <w:t>р</w:t>
      </w:r>
      <w:r w:rsidR="003B3C6D" w:rsidRPr="003B3C6D">
        <w:t>івень організаційної підтримки</w:t>
      </w:r>
      <w:r w:rsidR="003B3C6D">
        <w:t xml:space="preserve"> – 80;</w:t>
      </w:r>
      <w:r>
        <w:t xml:space="preserve"> </w:t>
      </w:r>
      <w:r w:rsidR="003B3C6D">
        <w:t>р</w:t>
      </w:r>
      <w:r w:rsidR="003B3C6D" w:rsidRPr="003B3C6D">
        <w:t>івень інформаційної та консультативної підтримки</w:t>
      </w:r>
      <w:r w:rsidR="003B3C6D">
        <w:t xml:space="preserve"> – 75%;</w:t>
      </w:r>
      <w:r>
        <w:t xml:space="preserve"> </w:t>
      </w:r>
      <w:r w:rsidR="003B3C6D">
        <w:t>р</w:t>
      </w:r>
      <w:r w:rsidR="003B3C6D" w:rsidRPr="003B3C6D">
        <w:t>івень соціальної підтримки</w:t>
      </w:r>
      <w:r w:rsidR="003B3C6D">
        <w:t xml:space="preserve"> – 70%</w:t>
      </w:r>
      <w:r>
        <w:t>.</w:t>
      </w:r>
    </w:p>
    <w:p w:rsidR="003B3C6D" w:rsidRPr="003B3C6D" w:rsidRDefault="007134F5" w:rsidP="007134F5">
      <w:pPr>
        <w:ind w:firstLine="709"/>
      </w:pPr>
      <w:r>
        <w:t xml:space="preserve">8. Загальні уявлення: </w:t>
      </w:r>
      <w:r w:rsidR="003B3C6D" w:rsidRPr="003B3C6D">
        <w:t>готовність (придатність) до працевлаштування</w:t>
      </w:r>
      <w:r w:rsidR="003B3C6D">
        <w:t xml:space="preserve"> – 82%;</w:t>
      </w:r>
      <w:r>
        <w:t xml:space="preserve"> </w:t>
      </w:r>
      <w:r w:rsidR="003B3C6D">
        <w:t xml:space="preserve">відповідність </w:t>
      </w:r>
      <w:r w:rsidR="003B3C6D" w:rsidRPr="003B3C6D">
        <w:t>підготовки за ОП очікуванням</w:t>
      </w:r>
      <w:r w:rsidR="00D94134">
        <w:t xml:space="preserve"> – 78%.</w:t>
      </w:r>
    </w:p>
    <w:p w:rsidR="00DF44D2" w:rsidRDefault="00DF44D2" w:rsidP="007134F5">
      <w:pPr>
        <w:spacing w:before="120"/>
        <w:ind w:firstLine="709"/>
      </w:pPr>
      <w:r w:rsidRPr="007134F5">
        <w:rPr>
          <w:b/>
        </w:rPr>
        <w:t>Найкращі серед вивчених дисциплін:</w:t>
      </w:r>
      <w:r w:rsidR="007134F5">
        <w:rPr>
          <w:b/>
        </w:rPr>
        <w:t xml:space="preserve"> </w:t>
      </w:r>
      <w:r>
        <w:t>Міжнародні економічні відносини</w:t>
      </w:r>
      <w:r w:rsidR="007134F5">
        <w:t xml:space="preserve">, </w:t>
      </w:r>
      <w:r>
        <w:t>Міжнародна економіка</w:t>
      </w:r>
      <w:r w:rsidR="007134F5">
        <w:t xml:space="preserve">, </w:t>
      </w:r>
      <w:r>
        <w:t>Менеджмент</w:t>
      </w:r>
      <w:r w:rsidR="007134F5">
        <w:t xml:space="preserve">, </w:t>
      </w:r>
      <w:r>
        <w:t>Економіка зарубіжних країн</w:t>
      </w:r>
      <w:r w:rsidR="007134F5">
        <w:t xml:space="preserve">, </w:t>
      </w:r>
      <w:r>
        <w:t>Економіка ЄС</w:t>
      </w:r>
      <w:r w:rsidR="007134F5">
        <w:t>.</w:t>
      </w:r>
    </w:p>
    <w:p w:rsidR="00DF44D2" w:rsidRDefault="00DF44D2" w:rsidP="007134F5">
      <w:pPr>
        <w:spacing w:before="120"/>
        <w:ind w:firstLine="709"/>
      </w:pPr>
      <w:r w:rsidRPr="007134F5">
        <w:rPr>
          <w:b/>
        </w:rPr>
        <w:t>Дисципліни, які варто змінити:</w:t>
      </w:r>
      <w:r w:rsidR="007134F5">
        <w:rPr>
          <w:b/>
        </w:rPr>
        <w:t xml:space="preserve"> </w:t>
      </w:r>
      <w:r>
        <w:t>Міжнародні валютно-фінансові відносини</w:t>
      </w:r>
      <w:r w:rsidR="007134F5">
        <w:t xml:space="preserve">, </w:t>
      </w:r>
      <w:r>
        <w:t>Основи безпеки життєдіяльності</w:t>
      </w:r>
      <w:r w:rsidR="007134F5">
        <w:t xml:space="preserve">, </w:t>
      </w:r>
      <w:r>
        <w:t>Математика для економістів</w:t>
      </w:r>
      <w:r w:rsidR="007134F5">
        <w:t>.</w:t>
      </w:r>
    </w:p>
    <w:p w:rsidR="007134F5" w:rsidRDefault="007134F5" w:rsidP="00AA1A35">
      <w:pPr>
        <w:spacing w:before="120"/>
        <w:ind w:firstLine="709"/>
        <w:rPr>
          <w:b/>
        </w:rPr>
      </w:pPr>
      <w:r w:rsidRPr="007134F5">
        <w:rPr>
          <w:b/>
        </w:rPr>
        <w:t>Недоліки і побажання:</w:t>
      </w:r>
    </w:p>
    <w:p w:rsidR="00DF44D2" w:rsidRDefault="007134F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>п</w:t>
      </w:r>
      <w:r w:rsidR="00DF44D2" w:rsidRPr="00DF44D2">
        <w:t>орушення принципів академічної доброчесності</w:t>
      </w:r>
      <w:r w:rsidR="00DF44D2">
        <w:t>: плагіат курсових робіт</w:t>
      </w:r>
      <w:r>
        <w:t>;</w:t>
      </w:r>
    </w:p>
    <w:p w:rsidR="00DF44D2" w:rsidRDefault="007134F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 xml:space="preserve">не висвітлюються факти врахування побажань здобувачів </w:t>
      </w:r>
      <w:r w:rsidR="00DF44D2" w:rsidRPr="00DF44D2">
        <w:t>при розроб</w:t>
      </w:r>
      <w:r>
        <w:t xml:space="preserve">ленні </w:t>
      </w:r>
      <w:r w:rsidR="00DF44D2" w:rsidRPr="00DF44D2">
        <w:t>та перегляді ОП</w:t>
      </w:r>
      <w:r>
        <w:t>;</w:t>
      </w:r>
    </w:p>
    <w:p w:rsidR="00AA1A35" w:rsidRDefault="00AA1A3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>надто багато дисциплін в одному семестрі;</w:t>
      </w:r>
    </w:p>
    <w:p w:rsidR="00D45CD9" w:rsidRDefault="00AA1A3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 xml:space="preserve">існує </w:t>
      </w:r>
      <w:r w:rsidR="00D45CD9">
        <w:t>дублювання змісту</w:t>
      </w:r>
      <w:r>
        <w:t xml:space="preserve"> і наповнення дисциплін;</w:t>
      </w:r>
    </w:p>
    <w:p w:rsidR="00D45CD9" w:rsidRDefault="00AA1A3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 xml:space="preserve">надмірна </w:t>
      </w:r>
      <w:r w:rsidR="00D45CD9">
        <w:t>кількість лабораторних робіт</w:t>
      </w:r>
      <w:r>
        <w:t xml:space="preserve"> та рівень їх складності;</w:t>
      </w:r>
    </w:p>
    <w:p w:rsidR="00D45CD9" w:rsidRDefault="00AA1A3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>недостатньо практичних аспектів в окремих дисциплінах;</w:t>
      </w:r>
    </w:p>
    <w:p w:rsidR="00414958" w:rsidRDefault="00414958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>проходження переддипломної практики суто формальне;</w:t>
      </w:r>
    </w:p>
    <w:p w:rsidR="00D45CD9" w:rsidRDefault="00AA1A35" w:rsidP="00AA1A35">
      <w:pPr>
        <w:pStyle w:val="a3"/>
        <w:numPr>
          <w:ilvl w:val="0"/>
          <w:numId w:val="3"/>
        </w:numPr>
        <w:tabs>
          <w:tab w:val="left" w:pos="709"/>
        </w:tabs>
        <w:ind w:left="851"/>
      </w:pPr>
      <w:r>
        <w:t xml:space="preserve">варто збільшити </w:t>
      </w:r>
      <w:r w:rsidR="00D45CD9">
        <w:t>кіль</w:t>
      </w:r>
      <w:r>
        <w:t>кі</w:t>
      </w:r>
      <w:r w:rsidR="00D45CD9">
        <w:t xml:space="preserve">сть гуманітарних дисциплін </w:t>
      </w:r>
      <w:r>
        <w:t>та їх обсяг (</w:t>
      </w:r>
      <w:r w:rsidR="00D45CD9">
        <w:t>українська мова</w:t>
      </w:r>
      <w:r>
        <w:t xml:space="preserve">, </w:t>
      </w:r>
      <w:r w:rsidR="00D45CD9">
        <w:t>історія</w:t>
      </w:r>
      <w:r>
        <w:t>).</w:t>
      </w:r>
    </w:p>
    <w:p w:rsidR="00414958" w:rsidRDefault="00414958">
      <w:pPr>
        <w:rPr>
          <w:b/>
        </w:rPr>
      </w:pPr>
      <w:r>
        <w:rPr>
          <w:b/>
        </w:rPr>
        <w:br w:type="page"/>
      </w:r>
    </w:p>
    <w:p w:rsidR="00D45CD9" w:rsidRPr="00414958" w:rsidRDefault="00414958" w:rsidP="00414958">
      <w:pPr>
        <w:spacing w:before="120"/>
        <w:ind w:firstLine="709"/>
        <w:rPr>
          <w:b/>
        </w:rPr>
      </w:pPr>
      <w:r w:rsidRPr="00414958">
        <w:rPr>
          <w:b/>
        </w:rPr>
        <w:lastRenderedPageBreak/>
        <w:t>Причини низького рівня охоплення здобувачів:</w:t>
      </w:r>
    </w:p>
    <w:p w:rsidR="00414958" w:rsidRDefault="00414958" w:rsidP="00DF44D2">
      <w:pPr>
        <w:ind w:firstLine="709"/>
      </w:pPr>
      <w:r>
        <w:t>1. Військовий стан: погіршення комунікацій, втрата контактів зі здобувачами, неможливість вчасного реагування на їх запити, зміна навчальних графіків, унеможливлення виконання окремих процедур навчального процесу.</w:t>
      </w:r>
    </w:p>
    <w:p w:rsidR="00414958" w:rsidRDefault="00414958" w:rsidP="00DF44D2">
      <w:pPr>
        <w:ind w:firstLine="709"/>
      </w:pPr>
      <w:r>
        <w:t>2. Недостатня робота кураторів: викладачі перевантажені роботою,</w:t>
      </w:r>
      <w:r w:rsidR="003D0050">
        <w:t xml:space="preserve"> куратори невмотивовані.</w:t>
      </w:r>
    </w:p>
    <w:p w:rsidR="00414958" w:rsidRDefault="00414958" w:rsidP="00DF44D2">
      <w:pPr>
        <w:ind w:firstLine="709"/>
      </w:pPr>
      <w:r>
        <w:t>3. Більшість здобувачів не вмотивовані п</w:t>
      </w:r>
      <w:r w:rsidR="003D0050">
        <w:t>р</w:t>
      </w:r>
      <w:r>
        <w:t>оходити опитування, їм це просто не цікаво.</w:t>
      </w:r>
    </w:p>
    <w:p w:rsidR="00AA1A35" w:rsidRPr="00414958" w:rsidRDefault="00414958" w:rsidP="00414958">
      <w:pPr>
        <w:spacing w:before="120"/>
        <w:ind w:firstLine="709"/>
        <w:rPr>
          <w:b/>
        </w:rPr>
      </w:pPr>
      <w:r>
        <w:rPr>
          <w:b/>
        </w:rPr>
        <w:t>П</w:t>
      </w:r>
      <w:r w:rsidR="00E908C6" w:rsidRPr="00414958">
        <w:rPr>
          <w:b/>
        </w:rPr>
        <w:t>ерспективи розвитку ОП, а також доцільні управлінські рішення</w:t>
      </w:r>
      <w:r>
        <w:rPr>
          <w:b/>
        </w:rPr>
        <w:t>:</w:t>
      </w:r>
    </w:p>
    <w:p w:rsidR="00AA1A35" w:rsidRDefault="00DE7674" w:rsidP="00DF44D2">
      <w:pPr>
        <w:ind w:firstLine="709"/>
      </w:pPr>
      <w:r>
        <w:t>1</w:t>
      </w:r>
      <w:r w:rsidR="00414958">
        <w:t>. </w:t>
      </w:r>
      <w:r>
        <w:t>Зауваження здобувачів освіти стосувалися ОП «Міжнародні економічні відносини» 2018 року, у нових редакціях ОП «Міжнародні економічні відносини» 2020-2022 рр. ці зауваження уже були враховані.</w:t>
      </w:r>
    </w:p>
    <w:p w:rsidR="00DE7674" w:rsidRDefault="00DE7674" w:rsidP="00DE7674">
      <w:pPr>
        <w:ind w:firstLine="709"/>
      </w:pPr>
      <w:r>
        <w:t>2. Доцільно й надалі удосконалювати структуру освітніх компонентів: провести поглиблене узгодження дисциплін, прибрати наявні неузгодженості і часткове дублювання їх вмісту.</w:t>
      </w:r>
    </w:p>
    <w:p w:rsidR="003D0050" w:rsidRDefault="00DE7674" w:rsidP="00DF44D2">
      <w:pPr>
        <w:ind w:firstLine="709"/>
      </w:pPr>
      <w:r>
        <w:t>3</w:t>
      </w:r>
      <w:r w:rsidR="003D0050">
        <w:t>. Розглянути можливості зменшення кількості письмових завдань в окремих дисциплінах, збільшити рівень практичних навичок.</w:t>
      </w:r>
    </w:p>
    <w:p w:rsidR="003D0050" w:rsidRDefault="00DE7674" w:rsidP="00DF44D2">
      <w:pPr>
        <w:ind w:firstLine="709"/>
      </w:pPr>
      <w:r>
        <w:t>4</w:t>
      </w:r>
      <w:r w:rsidR="003D0050">
        <w:t>. Розширити перелік підприємств, які є базами практики.</w:t>
      </w:r>
    </w:p>
    <w:p w:rsidR="003D0050" w:rsidRDefault="00DE7674" w:rsidP="00DF44D2">
      <w:pPr>
        <w:ind w:firstLine="709"/>
      </w:pPr>
      <w:r>
        <w:t>5</w:t>
      </w:r>
      <w:r w:rsidR="003D0050">
        <w:t>. Збільшити кількість практиків і представників бізнесу, залучених до проведення занять.</w:t>
      </w:r>
    </w:p>
    <w:p w:rsidR="003D0050" w:rsidRPr="003D0050" w:rsidRDefault="003D0050" w:rsidP="003D0050">
      <w:pPr>
        <w:spacing w:before="120"/>
        <w:ind w:firstLine="709"/>
        <w:rPr>
          <w:b/>
        </w:rPr>
      </w:pPr>
      <w:r w:rsidRPr="003D0050">
        <w:rPr>
          <w:b/>
        </w:rPr>
        <w:t>Обмеження і застереження:</w:t>
      </w:r>
    </w:p>
    <w:p w:rsidR="003D0050" w:rsidRDefault="003D0050" w:rsidP="00DF44D2">
      <w:pPr>
        <w:ind w:firstLine="709"/>
      </w:pPr>
      <w:r>
        <w:t>1. В умовах дистанційного навчання трудомісткість викладацької роботи різко зростає порівняно з очним навчанням, відтак якісно виконувати навчальне навантаження вкрай важко.</w:t>
      </w:r>
    </w:p>
    <w:p w:rsidR="00750328" w:rsidRDefault="00750328" w:rsidP="00DF44D2">
      <w:pPr>
        <w:ind w:firstLine="709"/>
      </w:pPr>
      <w:r>
        <w:t>2. Зміщення акцентів у бік наукової роботи і досягнення формалізованих показників різко знизило мотивацію викладачів до роботи зі студентами.</w:t>
      </w:r>
    </w:p>
    <w:p w:rsidR="003D0050" w:rsidRPr="00F900F6" w:rsidRDefault="00750328" w:rsidP="00DF44D2">
      <w:pPr>
        <w:ind w:firstLine="709"/>
      </w:pPr>
      <w:r>
        <w:t>3</w:t>
      </w:r>
      <w:r w:rsidR="003D0050">
        <w:t>. Технічне забезпечення дистанційного навчання недостатнє</w:t>
      </w:r>
      <w:r w:rsidR="00F900F6">
        <w:t xml:space="preserve">: незручність інтерфейсу ВНС, його низька швидкодія (особливо на період сесії), слабке покриття </w:t>
      </w:r>
      <w:r w:rsidR="00F900F6">
        <w:rPr>
          <w:lang w:val="en-US"/>
        </w:rPr>
        <w:t>Wi-Fi</w:t>
      </w:r>
      <w:r w:rsidR="00F900F6">
        <w:t>.</w:t>
      </w:r>
    </w:p>
    <w:p w:rsidR="00F900F6" w:rsidRDefault="00750328" w:rsidP="00DF44D2">
      <w:pPr>
        <w:ind w:firstLine="709"/>
      </w:pPr>
      <w:r>
        <w:t>4</w:t>
      </w:r>
      <w:r w:rsidR="00F900F6">
        <w:t>.</w:t>
      </w:r>
      <w:r w:rsidR="00F900F6">
        <w:rPr>
          <w:lang w:val="en-US"/>
        </w:rPr>
        <w:t> </w:t>
      </w:r>
      <w:r>
        <w:t>Можливості залучення практиків і представників бізнесу, а також підприємств, де можна проходити реальну практику,</w:t>
      </w:r>
      <w:r w:rsidR="000303FD">
        <w:t xml:space="preserve"> обмежені через військовий стан, а також тим фактом, що </w:t>
      </w:r>
      <w:r w:rsidR="004C78B1">
        <w:t>забезпечити їм гідну оплату неможливо.</w:t>
      </w:r>
    </w:p>
    <w:p w:rsidR="004C78B1" w:rsidRDefault="004C78B1" w:rsidP="00DF44D2">
      <w:pPr>
        <w:ind w:firstLine="709"/>
      </w:pPr>
    </w:p>
    <w:p w:rsidR="004C78B1" w:rsidRDefault="00B9440E" w:rsidP="00DF44D2">
      <w:pPr>
        <w:ind w:firstLine="709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0E3AE16" wp14:editId="299A47FA">
            <wp:simplePos x="0" y="0"/>
            <wp:positionH relativeFrom="column">
              <wp:posOffset>4001428</wp:posOffset>
            </wp:positionH>
            <wp:positionV relativeFrom="paragraph">
              <wp:posOffset>4986</wp:posOffset>
            </wp:positionV>
            <wp:extent cx="1184910" cy="6819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3"/>
                    <a:stretch/>
                  </pic:blipFill>
                  <pic:spPr bwMode="auto">
                    <a:xfrm>
                      <a:off x="0" y="0"/>
                      <a:ext cx="11849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78B1">
        <w:t>Гарант ОП 292 «Міжнародні економічні відносини»</w:t>
      </w:r>
      <w:r w:rsidRPr="00B9440E">
        <w:rPr>
          <w:noProof/>
          <w:lang w:eastAsia="uk-UA"/>
        </w:rPr>
        <w:t xml:space="preserve"> </w:t>
      </w:r>
    </w:p>
    <w:p w:rsidR="004C78B1" w:rsidRPr="004C78B1" w:rsidRDefault="004C78B1" w:rsidP="00DF44D2">
      <w:pPr>
        <w:ind w:firstLine="709"/>
      </w:pPr>
      <w:r w:rsidRPr="004C78B1">
        <w:t>першого (бакалаврського) рівня вищої освіти</w:t>
      </w:r>
    </w:p>
    <w:p w:rsidR="004C78B1" w:rsidRDefault="004C78B1" w:rsidP="00DF44D2">
      <w:pPr>
        <w:ind w:firstLine="709"/>
      </w:pPr>
      <w:proofErr w:type="spellStart"/>
      <w:r w:rsidRPr="004C78B1">
        <w:t>к.е.н</w:t>
      </w:r>
      <w:proofErr w:type="spellEnd"/>
      <w:r w:rsidRPr="004C78B1">
        <w:t>., доц. каф. ММП</w:t>
      </w:r>
      <w:r w:rsidRPr="004C78B1">
        <w:tab/>
      </w:r>
      <w:r w:rsidRPr="004C78B1">
        <w:tab/>
      </w:r>
      <w:r w:rsidRPr="004C78B1">
        <w:tab/>
      </w:r>
      <w:r w:rsidRPr="004C78B1">
        <w:tab/>
      </w:r>
      <w:r>
        <w:tab/>
      </w:r>
      <w:r w:rsidRPr="004C78B1">
        <w:t>Босак А.О.</w:t>
      </w:r>
    </w:p>
    <w:p w:rsidR="004C78B1" w:rsidRDefault="004C78B1" w:rsidP="00DF44D2">
      <w:pPr>
        <w:ind w:firstLine="709"/>
      </w:pPr>
    </w:p>
    <w:p w:rsidR="004C78B1" w:rsidRDefault="004C78B1" w:rsidP="00DF44D2">
      <w:pPr>
        <w:ind w:firstLine="709"/>
      </w:pPr>
      <w:r>
        <w:t>Затверджено на засіданні кафедри ММП</w:t>
      </w:r>
    </w:p>
    <w:p w:rsidR="004C78B1" w:rsidRPr="004C78B1" w:rsidRDefault="004C78B1" w:rsidP="00DF44D2">
      <w:pPr>
        <w:ind w:firstLine="709"/>
      </w:pPr>
      <w:r>
        <w:t xml:space="preserve">Протокол № від </w:t>
      </w:r>
      <w:r w:rsidR="00174A17">
        <w:t>5</w:t>
      </w:r>
      <w:r w:rsidR="00B9440E">
        <w:t xml:space="preserve"> від </w:t>
      </w:r>
      <w:r w:rsidR="00174A17">
        <w:t>12</w:t>
      </w:r>
      <w:r w:rsidR="00B9440E">
        <w:t>.1</w:t>
      </w:r>
      <w:r w:rsidR="00174A17">
        <w:t>2</w:t>
      </w:r>
      <w:r w:rsidR="00B9440E">
        <w:t>.2022 р.</w:t>
      </w:r>
    </w:p>
    <w:sectPr w:rsidR="004C78B1" w:rsidRPr="004C78B1" w:rsidSect="003739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46C5"/>
    <w:multiLevelType w:val="hybridMultilevel"/>
    <w:tmpl w:val="7574541C"/>
    <w:lvl w:ilvl="0" w:tplc="D5F6E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8A791C"/>
    <w:multiLevelType w:val="hybridMultilevel"/>
    <w:tmpl w:val="0A4EA32E"/>
    <w:lvl w:ilvl="0" w:tplc="D5F6E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9736C8"/>
    <w:multiLevelType w:val="hybridMultilevel"/>
    <w:tmpl w:val="95FA3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C0"/>
    <w:rsid w:val="000303FD"/>
    <w:rsid w:val="00174A17"/>
    <w:rsid w:val="0026778E"/>
    <w:rsid w:val="002A4F23"/>
    <w:rsid w:val="003739B4"/>
    <w:rsid w:val="003B3C6D"/>
    <w:rsid w:val="003D0050"/>
    <w:rsid w:val="00414958"/>
    <w:rsid w:val="004422B8"/>
    <w:rsid w:val="004C78B1"/>
    <w:rsid w:val="00546F81"/>
    <w:rsid w:val="007134F5"/>
    <w:rsid w:val="00750328"/>
    <w:rsid w:val="00AA1A35"/>
    <w:rsid w:val="00B9440E"/>
    <w:rsid w:val="00C73A60"/>
    <w:rsid w:val="00D45CD9"/>
    <w:rsid w:val="00D94134"/>
    <w:rsid w:val="00DE7674"/>
    <w:rsid w:val="00DF44D2"/>
    <w:rsid w:val="00E908C6"/>
    <w:rsid w:val="00EC4AA0"/>
    <w:rsid w:val="00EE7965"/>
    <w:rsid w:val="00F843C0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4F45-F588-4DDF-B5F0-BD1EB00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r213-ws3</cp:lastModifiedBy>
  <cp:revision>2</cp:revision>
  <dcterms:created xsi:type="dcterms:W3CDTF">2024-01-24T13:29:00Z</dcterms:created>
  <dcterms:modified xsi:type="dcterms:W3CDTF">2024-01-24T13:29:00Z</dcterms:modified>
</cp:coreProperties>
</file>